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/>
                <w:b/>
                <w:sz w:val="18"/>
                <w:szCs w:val="18"/>
              </w:rPr>
              <w:t>Moderni pristup izvođenju eksperimenata u nastavi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MPIEUNH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A96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2199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2199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A96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A96EA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A96EA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84</w:t>
            </w:r>
            <w:r w:rsidR="00182F2B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A96EA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182F2B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A96EA1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A96EA1">
              <w:rPr>
                <w:rFonts w:asciiTheme="majorHAnsi" w:hAnsiTheme="majorHAnsi"/>
                <w:b/>
                <w:sz w:val="18"/>
                <w:szCs w:val="18"/>
              </w:rPr>
              <w:t>18,58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033ED3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D856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562C" w:rsidRPr="00D8562C">
              <w:rPr>
                <w:rFonts w:asciiTheme="majorHAnsi" w:hAnsiTheme="majorHAnsi" w:cs="Arial"/>
                <w:b/>
                <w:sz w:val="18"/>
                <w:szCs w:val="18"/>
              </w:rPr>
              <w:t>Upoznavanje sa novim strategijama učenja otkrivanjem i njezinim metodama za primjenu u nastavničkom radu. Isticanje značaja eksperimentalnog rada pri proučavanju hemije za razvijanje spoznajnih procesa, kreativnosti i inovativnosti. Upoznavanje sa specijalnom opremom science student kit i s upotrebom hemikalija u mikrokoličinama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 w:rsidRPr="00A96EA1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da: analizira, kritički procjenjuje i izabere savremene optimalne nastavne metode za realizaciju različitih nastavnih tema u nastavi hemije za osnovne i  srednje škole; Studenti će moći: Kreirati zadatke i primjere za učenike koristeći različite nastavne strategije i metode; Procijeniti validnost učeničkih ideja razvijenih tijekom učenja otkrivanjem te osigurati povratnu informaciju; Podupirati inovativne pristupe koji potiču proces učenja u nastavi hemije; Osmisliti set hemijskih demonstracionih ogleda za upotrebu u razredu</w:t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 w:rsidRPr="00A96EA1">
              <w:rPr>
                <w:rFonts w:asciiTheme="majorHAnsi" w:hAnsiTheme="majorHAnsi" w:cs="Arial"/>
                <w:b/>
                <w:sz w:val="18"/>
                <w:szCs w:val="18"/>
              </w:rPr>
              <w:t>Obrazovne strategije, metode i postupci rada, Strategija učenja otkrivanjem, Istraživanje, Simulacija, Projekat,  Autentični zadaci, Refleksivna praksa, Informatička i medijska pismenost, Važnost konteksta pri poučavanju i učenju, Primjena aplikacija za Smartphone za realizaciju eksperimenata u nastavi, Značaj eksperimenata u nastavi hemije, Demonstracioni ogledi i važnost u nastavi hemije, Razvijanje eksperimentalnih tehnika i vještina, Optička projekcija hemijskih ogleda, „Low-cost“ hemijski ogledi, Microscience, Tehnika izvođenja “hemije u kapljicama”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EA1" w:rsidRDefault="007D3B26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B5D0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033ED3" w:rsidRPr="00033ED3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96EA1" w:rsidRPr="00A96EA1">
              <w:rPr>
                <w:rFonts w:asciiTheme="majorHAnsi" w:hAnsiTheme="majorHAnsi" w:cs="Arial"/>
                <w:b/>
                <w:sz w:val="18"/>
                <w:szCs w:val="18"/>
              </w:rPr>
              <w:t>Sikirica, M. (2003). Metodika nastave hemije</w:t>
            </w:r>
          </w:p>
          <w:p w:rsidR="00903591" w:rsidRDefault="00A96EA1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</w:t>
            </w:r>
            <w:r w:rsidRPr="00A96EA1">
              <w:rPr>
                <w:rFonts w:asciiTheme="majorHAnsi" w:hAnsiTheme="majorHAnsi" w:cs="Arial"/>
                <w:b/>
                <w:sz w:val="18"/>
                <w:szCs w:val="18"/>
              </w:rPr>
              <w:t xml:space="preserve"> Shakhashiri, B. Z. (2011). Chemical demonstrations: A handbook for teachers of chemistry (Vol. 5). 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A96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 w:rsidRPr="00A96EA1">
              <w:rPr>
                <w:rFonts w:asciiTheme="majorHAnsi" w:hAnsiTheme="majorHAnsi" w:cs="Arial"/>
                <w:b/>
                <w:sz w:val="18"/>
                <w:szCs w:val="18"/>
              </w:rPr>
              <w:t>Lister, T. (1996). Classic Chemistry Demonstrations. London: The Royal Society of Chemistry.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F919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9191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9191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96EA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A96EA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A96EA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F9191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F9191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9191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99F" w:rsidRDefault="0082199F">
      <w:pPr>
        <w:spacing w:line="240" w:lineRule="auto"/>
      </w:pPr>
      <w:r>
        <w:separator/>
      </w:r>
    </w:p>
  </w:endnote>
  <w:endnote w:type="continuationSeparator" w:id="0">
    <w:p w:rsidR="0082199F" w:rsidRDefault="00821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91918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91918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91918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99F" w:rsidRDefault="0082199F">
      <w:pPr>
        <w:spacing w:after="0"/>
      </w:pPr>
      <w:r>
        <w:separator/>
      </w:r>
    </w:p>
  </w:footnote>
  <w:footnote w:type="continuationSeparator" w:id="0">
    <w:p w:rsidR="0082199F" w:rsidRDefault="008219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199F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918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C8E92-5AF8-44C1-901F-DFFC68A7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2025-11-17T11:27:00Z</dcterms:created>
  <dcterms:modified xsi:type="dcterms:W3CDTF">2025-11-21T08:43:00Z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